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D00" w:rsidRDefault="00E77719">
      <w:pPr>
        <w:ind w:left="-1134" w:right="-1134"/>
        <w:jc w:val="center"/>
      </w:pPr>
      <w:bookmarkStart w:id="0" w:name="_GoBack"/>
      <w:bookmarkEnd w:id="0"/>
      <w:r>
        <w:rPr>
          <w:noProof/>
          <w:lang w:val="it-IT"/>
        </w:rPr>
        <w:drawing>
          <wp:inline distT="0" distB="0" distL="0" distR="0">
            <wp:extent cx="7652931" cy="10699200"/>
            <wp:effectExtent l="0" t="0" r="0" b="0"/>
            <wp:docPr id="9" name="image3.jpg" descr="Immagine che contiene testo, schermata, linea, Paralle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schermata, linea, Parallelo&#10;&#10;Il contenuto generato dall'IA potrebbe non essere corret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-128586</wp:posOffset>
                </wp:positionH>
                <wp:positionV relativeFrom="paragraph">
                  <wp:posOffset>1966913</wp:posOffset>
                </wp:positionV>
                <wp:extent cx="2857500" cy="361950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2013" y="3603788"/>
                          <a:ext cx="2847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B1D00" w:rsidRDefault="00E77719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660033"/>
                                <w:sz w:val="32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-128586</wp:posOffset>
                </wp:positionH>
                <wp:positionV relativeFrom="paragraph">
                  <wp:posOffset>1966913</wp:posOffset>
                </wp:positionV>
                <wp:extent cx="2857500" cy="361950"/>
                <wp:effectExtent b="0" l="0" r="0" t="0"/>
                <wp:wrapNone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0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B1D00" w:rsidRDefault="00E77719">
      <w:r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128588</wp:posOffset>
                </wp:positionH>
                <wp:positionV relativeFrom="paragraph">
                  <wp:posOffset>-381316</wp:posOffset>
                </wp:positionV>
                <wp:extent cx="1647825" cy="257175"/>
                <wp:effectExtent l="0" t="0" r="0" b="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B1D00" w:rsidRDefault="00E77719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128588</wp:posOffset>
                </wp:positionH>
                <wp:positionV relativeFrom="paragraph">
                  <wp:posOffset>-381316</wp:posOffset>
                </wp:positionV>
                <wp:extent cx="1647825" cy="257175"/>
                <wp:effectExtent b="0" l="0" r="0" t="0"/>
                <wp:wrapNone/>
                <wp:docPr id="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B1D00" w:rsidRDefault="003B1D00"/>
    <w:p w:rsidR="003B1D00" w:rsidRDefault="00E77719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rPr>
          <w:rFonts w:ascii="Titillium Web" w:eastAsia="Titillium Web" w:hAnsi="Titillium Web" w:cs="Titillium Web"/>
          <w:b/>
          <w:bCs/>
          <w:color w:val="595959"/>
          <w:sz w:val="44"/>
          <w:szCs w:val="44"/>
        </w:rPr>
      </w:pPr>
      <w:r>
        <w:rPr>
          <w:noProof/>
          <w:lang w:val="it-IT"/>
        </w:rPr>
        <w:drawing>
          <wp:inline distT="0" distB="0" distL="0" distR="0">
            <wp:extent cx="990600" cy="990600"/>
            <wp:effectExtent l="0" t="0" r="0" b="0"/>
            <wp:docPr id="1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3935638</wp:posOffset>
                </wp:positionH>
                <wp:positionV relativeFrom="paragraph">
                  <wp:posOffset>9842</wp:posOffset>
                </wp:positionV>
                <wp:extent cx="2410563" cy="776441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5481" y="3396542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B1D00" w:rsidRDefault="003B1D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3935638</wp:posOffset>
                </wp:positionH>
                <wp:positionV relativeFrom="paragraph">
                  <wp:posOffset>9842</wp:posOffset>
                </wp:positionV>
                <wp:extent cx="2410563" cy="776441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0563" cy="7764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B1D00" w:rsidRDefault="00E77719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44"/>
          <w:szCs w:val="44"/>
        </w:rPr>
      </w:pPr>
      <w:r>
        <w:rPr>
          <w:rFonts w:ascii="Titillium Web" w:eastAsia="Titillium Web" w:hAnsi="Titillium Web" w:cs="Titillium Web"/>
          <w:b/>
          <w:bCs/>
          <w:color w:val="5F497A"/>
          <w:sz w:val="44"/>
          <w:szCs w:val="44"/>
        </w:rPr>
        <w:t>Bilancio iniziale delle competenze</w:t>
      </w:r>
    </w:p>
    <w:p w:rsidR="003B1D00" w:rsidRDefault="003B1D00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44"/>
          <w:szCs w:val="44"/>
        </w:rPr>
      </w:pPr>
    </w:p>
    <w:p w:rsidR="003B1D00" w:rsidRDefault="003B1D00">
      <w:pPr>
        <w:keepNext/>
        <w:keepLines/>
        <w:spacing w:before="240" w:line="259" w:lineRule="auto"/>
        <w:jc w:val="center"/>
        <w:rPr>
          <w:rFonts w:ascii="Titillium Web" w:eastAsia="Titillium Web" w:hAnsi="Titillium Web" w:cs="Titillium Web"/>
          <w:color w:val="2E74B5"/>
          <w:sz w:val="18"/>
          <w:szCs w:val="18"/>
        </w:rPr>
      </w:pPr>
    </w:p>
    <w:p w:rsidR="003B1D00" w:rsidRDefault="00E77719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Nome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</w:t>
      </w:r>
      <w:r>
        <w:rPr>
          <w:rFonts w:ascii="Titillium Web" w:eastAsia="Titillium Web" w:hAnsi="Titillium Web" w:cs="Titillium Web"/>
        </w:rPr>
        <w:t xml:space="preserve"> </w:t>
      </w:r>
      <w:r>
        <w:rPr>
          <w:rFonts w:ascii="Titillium Web" w:eastAsia="Titillium Web" w:hAnsi="Titillium Web" w:cs="Titillium Web"/>
          <w:sz w:val="22"/>
          <w:szCs w:val="22"/>
        </w:rPr>
        <w:t xml:space="preserve"> Cognome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</w:t>
      </w:r>
    </w:p>
    <w:p w:rsidR="003B1D00" w:rsidRDefault="00E77719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Disciplina di insegnamento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........................................................................................................................................</w:t>
      </w:r>
    </w:p>
    <w:p w:rsidR="003B1D00" w:rsidRDefault="00E77719">
      <w:pPr>
        <w:spacing w:line="276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>Istituto di app</w:t>
      </w:r>
      <w:r>
        <w:rPr>
          <w:rFonts w:ascii="Titillium Web" w:eastAsia="Titillium Web" w:hAnsi="Titillium Web" w:cs="Titillium Web"/>
          <w:sz w:val="22"/>
          <w:szCs w:val="22"/>
        </w:rPr>
        <w:t xml:space="preserve">artenenza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.............................................................................................................................................</w:t>
      </w:r>
    </w:p>
    <w:p w:rsidR="003B1D00" w:rsidRDefault="003B1D00">
      <w:pPr>
        <w:rPr>
          <w:rFonts w:ascii="Titillium Web" w:eastAsia="Titillium Web" w:hAnsi="Titillium Web" w:cs="Titillium Web"/>
          <w:sz w:val="22"/>
          <w:szCs w:val="22"/>
        </w:rPr>
      </w:pPr>
    </w:p>
    <w:p w:rsidR="003B1D00" w:rsidRDefault="00E77719">
      <w:pPr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Sede (città/regione)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</w:t>
      </w:r>
    </w:p>
    <w:p w:rsidR="003B1D00" w:rsidRDefault="003B1D00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3B1D00" w:rsidRDefault="003B1D00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3B1D00" w:rsidRDefault="003B1D00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3B1D00" w:rsidRDefault="003B1D00">
      <w:pPr>
        <w:keepNext/>
        <w:keepLines/>
        <w:spacing w:before="40" w:line="259" w:lineRule="auto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3B1D00" w:rsidRDefault="00E77719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28"/>
          <w:szCs w:val="28"/>
        </w:rPr>
      </w:pPr>
      <w:r>
        <w:rPr>
          <w:rFonts w:ascii="Titillium Web" w:eastAsia="Titillium Web" w:hAnsi="Titillium Web" w:cs="Titillium Web"/>
          <w:b/>
          <w:bCs/>
          <w:color w:val="5F497A"/>
          <w:sz w:val="28"/>
          <w:szCs w:val="28"/>
        </w:rPr>
        <w:t>Livelli di competenza</w:t>
      </w:r>
    </w:p>
    <w:p w:rsidR="003B1D00" w:rsidRDefault="003B1D00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28"/>
          <w:szCs w:val="28"/>
        </w:rPr>
      </w:pPr>
    </w:p>
    <w:p w:rsidR="003B1D00" w:rsidRDefault="003B1D00">
      <w:pPr>
        <w:spacing w:line="259" w:lineRule="auto"/>
        <w:jc w:val="center"/>
        <w:rPr>
          <w:rFonts w:ascii="Titillium Web" w:eastAsia="Titillium Web" w:hAnsi="Titillium Web" w:cs="Titillium Web"/>
          <w:sz w:val="4"/>
          <w:szCs w:val="4"/>
        </w:rPr>
      </w:pPr>
    </w:p>
    <w:p w:rsidR="003B1D00" w:rsidRDefault="00E77719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20"/>
          <w:szCs w:val="20"/>
        </w:rPr>
      </w:pPr>
      <w:r>
        <w:rPr>
          <w:rFonts w:ascii="Titillium Web" w:eastAsia="Titillium Web" w:hAnsi="Titillium Web" w:cs="Titillium Web"/>
          <w:color w:val="000000"/>
          <w:sz w:val="20"/>
          <w:szCs w:val="20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a consapevolezza del proprio ‘stile professionale’, all’arricchimento creativo e personale, alla propensione/capacità di trasferire ad altri il proprio ‘sapere professionale’.</w:t>
      </w:r>
    </w:p>
    <w:p w:rsidR="003B1D00" w:rsidRDefault="00E77719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20"/>
          <w:szCs w:val="20"/>
        </w:rPr>
      </w:pPr>
      <w:r>
        <w:rPr>
          <w:rFonts w:ascii="Titillium Web" w:eastAsia="Titillium Web" w:hAnsi="Titillium Web" w:cs="Titillium Web"/>
          <w:color w:val="000000"/>
          <w:sz w:val="20"/>
          <w:szCs w:val="20"/>
        </w:rPr>
        <w:t>Per una migliore comprensione degli indicatori di competenza si rinvia alla cons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 xml:space="preserve">ultazione della </w:t>
      </w:r>
      <w:r>
        <w:rPr>
          <w:rFonts w:ascii="Titillium Web" w:eastAsia="Titillium Web" w:hAnsi="Titillium Web" w:cs="Titillium Web"/>
          <w:i/>
          <w:iCs/>
          <w:color w:val="000000"/>
          <w:sz w:val="20"/>
          <w:szCs w:val="20"/>
        </w:rPr>
        <w:t>Legenda del Bilancio iniziale delle competenze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, strumento allegato al presente documento, nel quale sono fornite puntuali e dettagliate spiegazioni per ciascun indicatore; il documento può rivelarsi utile sussidio per una migliore autovalut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azione dei livelli di competenza attesi.</w:t>
      </w: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3B1D00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3B1D00" w:rsidRDefault="00E77719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  <w:r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109539</wp:posOffset>
                </wp:positionH>
                <wp:positionV relativeFrom="paragraph">
                  <wp:posOffset>-373061</wp:posOffset>
                </wp:positionV>
                <wp:extent cx="1647825" cy="257175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B1D00" w:rsidRDefault="00E77719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109539</wp:posOffset>
                </wp:positionH>
                <wp:positionV relativeFrom="paragraph">
                  <wp:posOffset>-373061</wp:posOffset>
                </wp:positionV>
                <wp:extent cx="1647825" cy="257175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B1D00" w:rsidRDefault="003B1D00">
      <w:pPr>
        <w:spacing w:line="259" w:lineRule="auto"/>
        <w:jc w:val="both"/>
        <w:rPr>
          <w:rFonts w:ascii="Arial" w:eastAsia="Arial" w:hAnsi="Arial" w:cs="Arial"/>
        </w:rPr>
      </w:pPr>
    </w:p>
    <w:tbl>
      <w:tblPr>
        <w:tblStyle w:val="a"/>
        <w:tblW w:w="6675" w:type="dxa"/>
        <w:jc w:val="center"/>
        <w:tblInd w:w="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6675"/>
      </w:tblGrid>
      <w:tr w:rsidR="003B1D00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</w:tcPr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3B1D00" w:rsidRDefault="00E777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Nessuna = Livello 0</w:t>
            </w:r>
          </w:p>
          <w:p w:rsidR="003B1D00" w:rsidRDefault="00E77719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non è stata mai sperimentata.</w:t>
            </w:r>
          </w:p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</w:tc>
      </w:tr>
      <w:tr w:rsidR="003B1D00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/>
            </w:tcBorders>
          </w:tcPr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3B1D00" w:rsidRDefault="00E777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:rsidR="003B1D00" w:rsidRDefault="00E77719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fase di avvio del processo di acquisizione e di prima formazione.</w:t>
            </w:r>
          </w:p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3B1D00">
        <w:trPr>
          <w:trHeight w:val="300"/>
          <w:jc w:val="center"/>
        </w:trPr>
        <w:tc>
          <w:tcPr>
            <w:tcW w:w="6675" w:type="dxa"/>
          </w:tcPr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3B1D00" w:rsidRDefault="00E777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In corso di formazione = Livello 2</w:t>
            </w:r>
          </w:p>
          <w:p w:rsidR="003B1D00" w:rsidRDefault="00E77719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via di consolidamento e in progressione verso gli standard attesi.</w:t>
            </w:r>
          </w:p>
          <w:p w:rsidR="003B1D00" w:rsidRDefault="00E77719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4"/>
                <w:szCs w:val="4"/>
              </w:rPr>
            </w:pPr>
            <w:r>
              <w:rPr>
                <w:rFonts w:ascii="Titillium Web" w:eastAsia="Titillium Web" w:hAnsi="Titillium Web" w:cs="Titillium Web"/>
              </w:rPr>
              <w:tab/>
            </w:r>
          </w:p>
        </w:tc>
      </w:tr>
      <w:tr w:rsidR="003B1D00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/>
            </w:tcBorders>
          </w:tcPr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3B1D00" w:rsidRDefault="00E777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Standard atteso = Livello 3</w:t>
            </w:r>
          </w:p>
          <w:p w:rsidR="003B1D00" w:rsidRDefault="00E77719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consolidata, consapevole e sicura.</w:t>
            </w:r>
          </w:p>
          <w:p w:rsidR="003B1D00" w:rsidRDefault="003B1D00">
            <w:pPr>
              <w:ind w:left="161"/>
              <w:jc w:val="both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3B1D00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/>
            </w:tcBorders>
          </w:tcPr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3B1D00" w:rsidRDefault="00E777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:rsidR="003B1D00" w:rsidRDefault="00E77719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matura e accreditata e può essere messa a disposizione dei/delle colleghi/e e della scuola.</w:t>
            </w:r>
          </w:p>
          <w:p w:rsidR="003B1D00" w:rsidRDefault="003B1D00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</w:tc>
      </w:tr>
    </w:tbl>
    <w:p w:rsidR="003B1D00" w:rsidRDefault="00E77719">
      <w:r>
        <w:br w:type="page"/>
      </w:r>
    </w:p>
    <w:p w:rsidR="003B1D00" w:rsidRDefault="00E77719">
      <w:r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109539</wp:posOffset>
                </wp:positionH>
                <wp:positionV relativeFrom="paragraph">
                  <wp:posOffset>-386396</wp:posOffset>
                </wp:positionV>
                <wp:extent cx="1647825" cy="257175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B1D00" w:rsidRDefault="00E77719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109539</wp:posOffset>
                </wp:positionH>
                <wp:positionV relativeFrom="paragraph">
                  <wp:posOffset>-386396</wp:posOffset>
                </wp:positionV>
                <wp:extent cx="1647825" cy="257175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9908" w:type="dxa"/>
        <w:tblInd w:w="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3B1D00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/>
          </w:tcPr>
          <w:p w:rsidR="003B1D00" w:rsidRDefault="003B1D00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2"/>
                <w:szCs w:val="12"/>
              </w:rPr>
            </w:pPr>
          </w:p>
          <w:p w:rsidR="003B1D00" w:rsidRDefault="00E777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A - DIDATTICA</w:t>
            </w:r>
          </w:p>
          <w:p w:rsidR="003B1D00" w:rsidRDefault="00E777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Area delle competenze didattiche, metodologiche e relazionali</w:t>
            </w:r>
          </w:p>
          <w:p w:rsidR="003B1D00" w:rsidRDefault="003B1D00">
            <w:pPr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/>
            </w:tcBorders>
            <w:vAlign w:val="center"/>
          </w:tcPr>
          <w:p w:rsidR="003B1D00" w:rsidRDefault="00E77719">
            <w:pPr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:rsidR="003B1D00" w:rsidRDefault="00E77719">
            <w:pPr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:rsidR="003B1D00" w:rsidRDefault="003B1D00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  <w:t>Posizionamento</w:t>
            </w:r>
          </w:p>
          <w:p w:rsidR="003B1D00" w:rsidRDefault="00E77719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  <w:t>livello</w:t>
            </w:r>
          </w:p>
          <w:p w:rsidR="003B1D00" w:rsidRDefault="00E77719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(scala: 0 </w:t>
            </w:r>
            <w:r>
              <w:rPr>
                <w:rFonts w:ascii="Titillium Web" w:eastAsia="Titillium Web" w:hAnsi="Titillium Web" w:cs="Titillium Web"/>
                <w:color w:val="808080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1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2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3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4)</w:t>
            </w:r>
          </w:p>
          <w:p w:rsidR="003B1D00" w:rsidRDefault="003B1D00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3B1D00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</w:rPr>
            </w:pP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1</w:t>
            </w: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Progettare e gestire situazioni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di apprendimento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che promuovano le otto competenze chiave europee per un apprendimento permanente, trasformando l’insegnamento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esperienze significative e critiche, anche attraverso l’utilizzo di strumenti digitali e didattici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presenza e a distanza, e utilizzando stru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menti di lavoro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per documentare, valutare e certificare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le competenze personali di studenti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studentesse, anche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prospettiva orientativa</w:t>
            </w: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ind w:left="28" w:right="28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:rsidR="003B1D00" w:rsidRDefault="003B1D00">
            <w:pPr>
              <w:spacing w:line="192" w:lineRule="auto"/>
              <w:ind w:left="28" w:right="26"/>
              <w:jc w:val="both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Integrare nella progettazione didattica i traguardi di competenza previsti dalla normativa per l’Educazione civica.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Pianificare ed organizzare attività di orientamento formative.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</w:t>
            </w:r>
            <w:r>
              <w:rPr>
                <w:rFonts w:ascii="Titillium Web" w:eastAsia="Titillium Web" w:hAnsi="Titillium Web" w:cs="Titillium Web"/>
                <w:color w:val="000000"/>
              </w:rPr>
              <w:t>ivi di apprendimento raggiunti dal gruppo-classe.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Attuare l’insegnamento seguendo un piano organizzato e strutturato che associ contenuti a relativi obiettivi di apprendimento.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Gestire i tempi di svolgimento di un’attività di apprendimento e il passaggio tra un’attività e un’altra. 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mediatori didattici</w:t>
            </w:r>
            <w:r>
              <w:rPr>
                <w:rFonts w:ascii="Titillium Web" w:eastAsia="Titillium Web" w:hAnsi="Titillium Web" w:cs="Titillium Web"/>
                <w:b/>
                <w:bCs/>
                <w:color w:val="000000"/>
                <w:vertAlign w:val="superscript"/>
              </w:rPr>
              <w:footnoteReference w:id="1"/>
            </w:r>
            <w:r>
              <w:rPr>
                <w:rFonts w:ascii="Titillium Web" w:eastAsia="Titillium Web" w:hAnsi="Titillium Web" w:cs="Titillium Web"/>
                <w:color w:val="000000"/>
              </w:rPr>
              <w:t>, tecnologie digitali, ambienti virtuali e approcci innovativi come strumenti compensativi quali azioni/strumenti di supporto all’insegnamento e alle attività didattiche.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3B1D00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7030A0"/>
              </w:rPr>
            </w:pP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2</w:t>
            </w: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 xml:space="preserve">Adottare e adattare strategie e metodi 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lastRenderedPageBreak/>
              <w:t>didattici, compresi quelli personalizzati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per l’inclusione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di studenti</w:t>
            </w:r>
            <w:r>
              <w:rPr>
                <w:noProof/>
                <w:lang w:val="it-IT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754063</wp:posOffset>
                      </wp:positionH>
                      <wp:positionV relativeFrom="paragraph">
                        <wp:posOffset>-409256</wp:posOffset>
                      </wp:positionV>
                      <wp:extent cx="1647825" cy="257175"/>
                      <wp:effectExtent l="0" t="0" r="0" b="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6850" y="3656175"/>
                                <a:ext cx="1638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B1D00" w:rsidRDefault="00E77719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660033"/>
                                      <w:sz w:val="20"/>
                                    </w:rPr>
                                    <w:t>Anno scolastico 2026/27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754063</wp:posOffset>
                      </wp:positionH>
                      <wp:positionV relativeFrom="paragraph">
                        <wp:posOffset>-409256</wp:posOffset>
                      </wp:positionV>
                      <wp:extent cx="1647825" cy="257175"/>
                      <wp:effectExtent b="0" l="0" r="0" t="0"/>
                      <wp:wrapNone/>
                      <wp:docPr id="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7825" cy="257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studentesse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con disabilità e bisogni educativi speciali, integrando epistemologie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metodologie disciplinari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interdisciplinari</w:t>
            </w:r>
          </w:p>
          <w:p w:rsidR="003B1D00" w:rsidRDefault="003B1D00">
            <w:pPr>
              <w:rPr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</w:t>
            </w:r>
            <w:r>
              <w:rPr>
                <w:rFonts w:ascii="Titillium Web" w:eastAsia="Titillium Web" w:hAnsi="Titillium Web" w:cs="Titillium Web"/>
                <w:color w:val="000000"/>
              </w:rPr>
              <w:t>clusione di studenti e studentesse con BES, DSA o disabilità.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Alternare e variare i dispositivi e i materiali didattici all’interno del percorso didattico delle singole unità di apprendimento.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Monitorare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in itinere</w:t>
            </w:r>
            <w:r>
              <w:rPr>
                <w:rFonts w:ascii="Titillium Web" w:eastAsia="Titillium Web" w:hAnsi="Titillium Web" w:cs="Titillium Web"/>
                <w:color w:val="000000"/>
              </w:rPr>
              <w:t>, revisionare e riprogettare le attività didattiche.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3</w:t>
            </w: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Adottare strategie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metodi di valutazione per promuovere l’apprendimento</w:t>
            </w:r>
          </w:p>
          <w:p w:rsidR="003B1D00" w:rsidRDefault="003B1D00"/>
          <w:p w:rsidR="003B1D00" w:rsidRDefault="003B1D00"/>
          <w:p w:rsidR="003B1D00" w:rsidRDefault="003B1D00"/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Implementare strumenti di valutazione formativa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in itinere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per monitorare i progressi di studenti e studentesse in relazione agli obiettivi didattici definiti in partenza.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Variare e alternare prove di verifica di diversa tipologia.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Per l’infanzia</w:t>
            </w:r>
            <w:r>
              <w:rPr>
                <w:rFonts w:ascii="Titillium Web" w:eastAsia="Titillium Web" w:hAnsi="Titillium Web" w:cs="Titillium Web"/>
                <w:color w:val="000000"/>
              </w:rPr>
              <w:t>: esplicitare con chiarezza e con un linguaggio adeguato all</w:t>
            </w:r>
            <w:r>
              <w:rPr>
                <w:rFonts w:ascii="Titillium Web" w:eastAsia="Titillium Web" w:hAnsi="Titillium Web" w:cs="Titillium Web"/>
                <w:color w:val="000000"/>
              </w:rPr>
              <w:t>’età di alunni e alunne gli obiettivi delle attività proposte.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Assicurare a studenti e studentesse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feedback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formativi così da promuovere il miglioramento dei processi educativi e la crescita di ognuno/a.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4</w:t>
            </w: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Gestire relazioni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comportamenti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classe per favorire l’apprendimento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un clima disteso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collaborativo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</w:rPr>
            </w:pPr>
          </w:p>
          <w:p w:rsidR="003B1D00" w:rsidRDefault="003B1D00">
            <w:pPr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Promuovere in studenti e studentesse l’apprendimento collaborativo e/o cooperativo.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Implementare attività di apprendimento autonomo e di studio autoregolato.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/>
            </w:tcBorders>
            <w:shd w:val="clear" w:color="auto" w:fill="EAF1DD"/>
            <w:vAlign w:val="center"/>
          </w:tcPr>
          <w:p w:rsidR="003B1D00" w:rsidRDefault="00E77719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8"/>
                <w:szCs w:val="8"/>
              </w:rPr>
            </w:pPr>
            <w:r>
              <w:rPr>
                <w:noProof/>
                <w:lang w:val="it-IT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744538</wp:posOffset>
                      </wp:positionH>
                      <wp:positionV relativeFrom="paragraph">
                        <wp:posOffset>-1295081</wp:posOffset>
                      </wp:positionV>
                      <wp:extent cx="1647825" cy="257175"/>
                      <wp:effectExtent l="0" t="0" r="0" b="0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6850" y="3656175"/>
                                <a:ext cx="1638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B1D00" w:rsidRDefault="00E77719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660033"/>
                                      <w:sz w:val="20"/>
                                    </w:rPr>
                                    <w:t>Anno scolastico 2026/27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744538</wp:posOffset>
                      </wp:positionH>
                      <wp:positionV relativeFrom="paragraph">
                        <wp:posOffset>-1295081</wp:posOffset>
                      </wp:positionV>
                      <wp:extent cx="1647825" cy="257175"/>
                      <wp:effectExtent b="0" l="0" r="0" t="0"/>
                      <wp:wrapNone/>
                      <wp:docPr id="7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7825" cy="257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3B1D00" w:rsidRDefault="00E777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B - ISTITUZIONE-COMUNITÀ</w:t>
            </w:r>
          </w:p>
          <w:p w:rsidR="003B1D00" w:rsidRDefault="00E777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Area delle competenze relative alla partecipazione alla vita della scuola e del contesto sociale</w:t>
            </w:r>
          </w:p>
          <w:p w:rsidR="003B1D00" w:rsidRDefault="003B1D00">
            <w:pPr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5</w:t>
            </w: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Partecipare attivamente all’esperienza professionale organizzata a scuola, comprendendo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applicando funzioni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modalità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della valutazione interna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ed esterna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degli apprendimenti formali, non formali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Conoscere il funzionamento dell’organizzazione della scuola e il contesto socioculturale ed economico in cui essa agisce.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alla realizzazione delle iniziative educative deliberate e organizzate dalla scuola e/o proporne di nuove.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4"/>
                <w:szCs w:val="4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attivamente all’organizzazione e alla gestione della scuola, lavorando in sinergia con il/la Dirigente e in collaborazione con il personale scolastico.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Per l’infanzia</w:t>
            </w:r>
            <w:r>
              <w:rPr>
                <w:rFonts w:ascii="Titillium Web" w:eastAsia="Titillium Web" w:hAnsi="Titillium Web" w:cs="Titillium Web"/>
                <w:color w:val="000000"/>
              </w:rPr>
              <w:t>: favorire la parte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cipazione di bambini e bambine alle attività scolastiche legate alle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routine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quotidiane, tenendo conto dell’età, delle inclinazioni di ognuno/a oltreché del contesto socioculturale e territoriale in cui la scuola agisce.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6</w:t>
            </w:r>
          </w:p>
          <w:p w:rsidR="003B1D00" w:rsidRDefault="003B1D0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Lavorare in modo collaborativo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con la comunità professionale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Collaborare alla creazione di gruppi di lavoro tra docenti e/o prendervi attivamente parte.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Coinvolgere in modo attivo altre figure presenti nella comunità educante.</w:t>
            </w:r>
          </w:p>
          <w:p w:rsidR="003B1D00" w:rsidRDefault="00E77719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7</w:t>
            </w:r>
          </w:p>
          <w:p w:rsidR="003B1D00" w:rsidRDefault="003B1D0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lastRenderedPageBreak/>
              <w:t xml:space="preserve">Instaurare rapporti positivi con i familiari di studenti 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studentesse e con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 partner istituzionali</w:t>
            </w:r>
          </w:p>
          <w:p w:rsidR="003B1D00" w:rsidRDefault="00E777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Favorire la partecipazione dei fam</w:t>
            </w:r>
            <w:r>
              <w:rPr>
                <w:rFonts w:ascii="Cambria" w:eastAsia="Cambria" w:hAnsi="Cambria" w:cs="Cambria"/>
                <w:color w:val="000000"/>
              </w:rPr>
              <w:t>ig</w:t>
            </w:r>
            <w:r>
              <w:rPr>
                <w:rFonts w:ascii="Titillium Web" w:eastAsia="Titillium Web" w:hAnsi="Titillium Web" w:cs="Titillium Web"/>
                <w:color w:val="000000"/>
              </w:rPr>
              <w:t>liari di studenti e studentesse alla vita organizzativa della scuola.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Comunicare ai famigliari di studenti e studentesse obiettivi didattici attesi/raggiunti, strategie di intervento </w:t>
            </w:r>
            <w:r>
              <w:rPr>
                <w:rFonts w:ascii="Titillium Web" w:eastAsia="Titillium Web" w:hAnsi="Titillium Web" w:cs="Titillium Web"/>
                <w:color w:val="000000"/>
              </w:rPr>
              <w:lastRenderedPageBreak/>
              <w:t>ipotizzate/attuate, criteri di valutazione ed esiti finali conseguiti.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4"/>
                <w:szCs w:val="4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Cooperare con altre figure professionali coinvolte a vario titolo nei processi di apprendimento e di sviluppo di studenti e studentesse.</w:t>
            </w: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/>
            </w:tcBorders>
            <w:vAlign w:val="center"/>
          </w:tcPr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Contribuire allo sviluppo e alla gestione delle relazioni con i diversi interlocutori (enti locali, imprese, assoc</w:t>
            </w:r>
            <w:r>
              <w:rPr>
                <w:rFonts w:ascii="Titillium Web" w:eastAsia="Titillium Web" w:hAnsi="Titillium Web" w:cs="Titillium Web"/>
                <w:color w:val="000000"/>
              </w:rPr>
              <w:t>iazioni, fondazioni, università, organizzazioni della società civile e del terzo settore, ecc.).</w:t>
            </w:r>
          </w:p>
          <w:p w:rsidR="003B1D00" w:rsidRDefault="003B1D00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</w:p>
          <w:p w:rsidR="003B1D00" w:rsidRDefault="003B1D00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/>
            </w:tcBorders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rPr>
          <w:trHeight w:val="300"/>
        </w:trPr>
        <w:tc>
          <w:tcPr>
            <w:tcW w:w="9908" w:type="dxa"/>
            <w:gridSpan w:val="6"/>
            <w:shd w:val="clear" w:color="auto" w:fill="EAF1DD"/>
            <w:vAlign w:val="center"/>
          </w:tcPr>
          <w:p w:rsidR="003B1D00" w:rsidRDefault="003B1D00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8"/>
                <w:szCs w:val="8"/>
              </w:rPr>
            </w:pPr>
          </w:p>
          <w:p w:rsidR="003B1D00" w:rsidRDefault="00E777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C - PROFESSIONE</w:t>
            </w:r>
          </w:p>
          <w:p w:rsidR="003B1D00" w:rsidRDefault="00E77719">
            <w:pPr>
              <w:jc w:val="center"/>
              <w:rPr>
                <w:rFonts w:ascii="Titillium Web" w:eastAsia="Titillium Web" w:hAnsi="Titillium Web" w:cs="Titillium Web"/>
                <w:b/>
                <w:bCs/>
                <w:i/>
                <w:iCs/>
                <w:color w:val="00000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i/>
                <w:iCs/>
                <w:color w:val="000000"/>
              </w:rPr>
              <w:t>Area della formazione continua, della cura della professionalità e dello sviluppo di nuove responsabilità</w:t>
            </w:r>
          </w:p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3B1D00">
        <w:tc>
          <w:tcPr>
            <w:tcW w:w="2353" w:type="dxa"/>
            <w:vMerge w:val="restart"/>
            <w:shd w:val="clear" w:color="auto" w:fill="E5DFEC"/>
            <w:vAlign w:val="center"/>
          </w:tcPr>
          <w:p w:rsidR="003B1D00" w:rsidRDefault="003B1D00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</w:rPr>
            </w:pPr>
          </w:p>
          <w:p w:rsidR="003B1D00" w:rsidRDefault="00E77719">
            <w:pPr>
              <w:shd w:val="clear" w:color="auto" w:fill="E5DFEC"/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32"/>
                <w:szCs w:val="32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3B1D00" w:rsidRDefault="00E77719">
            <w:pPr>
              <w:shd w:val="clear" w:color="auto" w:fill="E5DFEC"/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8</w:t>
            </w:r>
          </w:p>
          <w:p w:rsidR="003B1D00" w:rsidRDefault="003B1D00">
            <w:pPr>
              <w:shd w:val="clear" w:color="auto" w:fill="E5DFEC"/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Impegnarsi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nella formazione continua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nello sviluppo professionale, integrando i nuclei basilari dei saperi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della didattica specifici per i propri insegnamenti,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con la capacità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di progettare didatticamente e gestire con flessibilità gruppi-classe/interclasse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 xml:space="preserve">per 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la personalizzazione e valorizzazione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dei talenti e lo sviluppo di competenze trasversali</w:t>
            </w:r>
          </w:p>
          <w:p w:rsidR="003B1D00" w:rsidRDefault="00E77719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comunicative</w:t>
            </w:r>
          </w:p>
          <w:p w:rsidR="003B1D00" w:rsidRDefault="003B1D00">
            <w:pPr>
              <w:shd w:val="clear" w:color="auto" w:fill="E5DFEC"/>
              <w:spacing w:line="216" w:lineRule="auto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</w:p>
          <w:p w:rsidR="003B1D00" w:rsidRDefault="003B1D00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periodicamente ad attività di formazione e di aggiornamento.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c>
          <w:tcPr>
            <w:tcW w:w="2353" w:type="dxa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fonti culturali diverse per potenziare conoscenze e competenze di insegnamento.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c>
          <w:tcPr>
            <w:tcW w:w="2353" w:type="dxa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Attivare collaborazioni professionalizzanti tra colleghi/e della propria scuola o di altre istituzioni educative nazionali ed internazionali.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c>
          <w:tcPr>
            <w:tcW w:w="2353" w:type="dxa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le esperienze di crescita professionale per riprogettare l’azione didattica.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c>
          <w:tcPr>
            <w:tcW w:w="2353" w:type="dxa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3B1D00">
        <w:tc>
          <w:tcPr>
            <w:tcW w:w="2353" w:type="dxa"/>
            <w:vMerge/>
            <w:shd w:val="clear" w:color="auto" w:fill="E5DFEC"/>
            <w:vAlign w:val="center"/>
          </w:tcPr>
          <w:p w:rsidR="003B1D00" w:rsidRDefault="003B1D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3B1D00" w:rsidRDefault="00E77719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Monitorare con metodicità il proprio sviluppo professionale in un’ottica di formazione continua.</w:t>
            </w:r>
          </w:p>
          <w:p w:rsidR="003B1D00" w:rsidRDefault="003B1D00">
            <w:pPr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3B1D00" w:rsidRDefault="003B1D00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</w:tbl>
    <w:p w:rsidR="003B1D00" w:rsidRDefault="00E77719"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112078</wp:posOffset>
                </wp:positionH>
                <wp:positionV relativeFrom="paragraph">
                  <wp:posOffset>-7163116</wp:posOffset>
                </wp:positionV>
                <wp:extent cx="1647825" cy="257175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B1D00" w:rsidRDefault="00E77719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112078</wp:posOffset>
                </wp:positionH>
                <wp:positionV relativeFrom="paragraph">
                  <wp:posOffset>-7163116</wp:posOffset>
                </wp:positionV>
                <wp:extent cx="1647825" cy="257175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3B1D00">
      <w:headerReference w:type="even" r:id="rId10"/>
      <w:headerReference w:type="default" r:id="rId11"/>
      <w:footerReference w:type="default" r:id="rId12"/>
      <w:footerReference w:type="first" r:id="rId13"/>
      <w:pgSz w:w="11900" w:h="16840"/>
      <w:pgMar w:top="142" w:right="1134" w:bottom="1134" w:left="1134" w:header="0" w:footer="92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9" w:rsidRDefault="00E77719">
      <w:r>
        <w:separator/>
      </w:r>
    </w:p>
  </w:endnote>
  <w:endnote w:type="continuationSeparator" w:id="0">
    <w:p w:rsidR="00E77719" w:rsidRDefault="00E7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9FADDEC-092A-43A6-BBDC-2760EABB14D3}"/>
    <w:embedBold r:id="rId2" w:fontKey="{CE00C898-67F8-4ACE-8B56-F11E329EA3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3A8D865-8815-4E31-A52B-1B1F1647A8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default"/>
    <w:embedRegular r:id="rId4" w:fontKey="{4F3D52F1-6743-4470-B5B4-E1ABCD90087E}"/>
    <w:embedBold r:id="rId5" w:fontKey="{ED0E8338-DF47-4FB9-8291-6BC2DDE584FA}"/>
    <w:embedItalic r:id="rId6" w:fontKey="{7571B4EF-904B-48B1-BA46-A536B1FD992A}"/>
    <w:embedBoldItalic r:id="rId7" w:fontKey="{CAB5C015-BCDE-4FE2-83BE-A4DAA27FB21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401EACA1-6742-4478-A0AA-C7560355141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D00" w:rsidRDefault="00E77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16320" cy="865505"/>
          <wp:effectExtent l="0" t="0" r="0" b="0"/>
          <wp:docPr id="11" name="image2.jp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D00" w:rsidRDefault="00E77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16320" cy="865505"/>
          <wp:effectExtent l="0" t="0" r="0" b="0"/>
          <wp:docPr id="13" name="image2.jp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9" w:rsidRDefault="00E77719">
      <w:r>
        <w:separator/>
      </w:r>
    </w:p>
  </w:footnote>
  <w:footnote w:type="continuationSeparator" w:id="0">
    <w:p w:rsidR="00E77719" w:rsidRDefault="00E77719">
      <w:r>
        <w:continuationSeparator/>
      </w:r>
    </w:p>
  </w:footnote>
  <w:footnote w:id="1">
    <w:p w:rsidR="003B1D00" w:rsidRDefault="00E7771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D00" w:rsidRDefault="00E77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88.1pt;height:788.1pt;z-index:-251658752;mso-position-horizontal:center;mso-position-horizontal-relative:margin;mso-position-vertical:center;mso-position-vertical-relative:margin">
          <v:imagedata r:id="rId1" o:title="image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D00" w:rsidRDefault="00E77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16320" cy="872490"/>
          <wp:effectExtent l="0" t="0" r="0" b="0"/>
          <wp:docPr id="12" name="image1.jpg" descr="Immagine che contiene testo, Carattere, schermata, linea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, Carattere, schermata, linea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00"/>
    <w:rsid w:val="000B7A5A"/>
    <w:rsid w:val="003B1D00"/>
    <w:rsid w:val="00E7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1078EEA-F3CA-47B3-A962-E3A3189C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2026-10-28T22:08:00Z</dcterms:created>
  <dcterms:modified xsi:type="dcterms:W3CDTF">2026-10-28T22:08:00Z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>MediaServiceImageTags</vt:lpwstr>
  </property>
</Properties>
</file>