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CORSO CAMBRIDGE B2 - Competenze STEM e multilinguistiche nelle scuole statali (D.M. 65/2023) “# Women in science” </w:t>
      </w:r>
    </w:p>
    <w:p w:rsidR="00000000" w:rsidDel="00000000" w:rsidP="00000000" w:rsidRDefault="00000000" w:rsidRPr="00000000" w14:paraId="00000002">
      <w:pPr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6"/>
          <w:szCs w:val="26"/>
          <w:highlight w:val="white"/>
          <w:u w:val="singl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Docente esperto </w:t>
      </w:r>
      <w:r w:rsidDel="00000000" w:rsidR="00000000" w:rsidRPr="00000000">
        <w:rPr>
          <w:b w:val="1"/>
          <w:sz w:val="26"/>
          <w:szCs w:val="26"/>
          <w:highlight w:val="white"/>
          <w:u w:val="single"/>
          <w:rtl w:val="0"/>
        </w:rPr>
        <w:t xml:space="preserve">MIKE HULLS</w:t>
      </w:r>
    </w:p>
    <w:p w:rsidR="00000000" w:rsidDel="00000000" w:rsidP="00000000" w:rsidRDefault="00000000" w:rsidRPr="00000000" w14:paraId="00000004">
      <w:pPr>
        <w:rPr>
          <w:b w:val="1"/>
          <w:highlight w:val="white"/>
          <w:u w:val="singl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Docente Tutor </w:t>
      </w:r>
      <w:r w:rsidDel="00000000" w:rsidR="00000000" w:rsidRPr="00000000">
        <w:rPr>
          <w:b w:val="1"/>
          <w:sz w:val="26"/>
          <w:szCs w:val="26"/>
          <w:highlight w:val="white"/>
          <w:u w:val="single"/>
          <w:rtl w:val="0"/>
        </w:rPr>
        <w:t xml:space="preserve">CAPODIFERRO LUCIANA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45"/>
        <w:gridCol w:w="3855"/>
        <w:tblGridChange w:id="0">
          <w:tblGrid>
            <w:gridCol w:w="5145"/>
            <w:gridCol w:w="38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APOLLINARE MELITA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left="720" w:firstLine="0"/>
              <w:rPr>
                <w:b w:val="1"/>
                <w:highlight w:val="white"/>
                <w:u w:val="singl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4M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CALDARALO VANNA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720" w:firstLine="0"/>
              <w:rPr>
                <w:b w:val="1"/>
                <w:highlight w:val="white"/>
                <w:u w:val="singl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5PA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COVELLA VALENZANO ANTONELLA 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720" w:firstLine="0"/>
              <w:rPr>
                <w:b w:val="1"/>
                <w:highlight w:val="white"/>
                <w:u w:val="singl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highlight w:val="white"/>
                <w:u w:val="non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D’AURIA SOFIA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720" w:firstLine="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EGITTO ERICA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           4F (Ginosa)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GISONNA FREDDY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720" w:firstLine="0"/>
              <w:rPr>
                <w:b w:val="1"/>
                <w:highlight w:val="white"/>
                <w:u w:val="singl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LOPPO MATTEO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720" w:firstLine="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5FS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MASI FEDERICA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            4F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MOTTOLA GIADA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720" w:firstLine="0"/>
              <w:rPr>
                <w:b w:val="1"/>
                <w:highlight w:val="white"/>
                <w:u w:val="singl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4M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OGLIASTRO GIADA PIA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720" w:firstLine="0"/>
              <w:rPr>
                <w:b w:val="1"/>
                <w:highlight w:val="white"/>
                <w:u w:val="singl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4F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PERRONE NICOLA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720" w:firstLine="0"/>
              <w:rPr>
                <w:b w:val="1"/>
                <w:highlight w:val="white"/>
                <w:u w:val="singl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3PE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SMAOUI HAJAR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720" w:firstLine="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5PA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TAMBORRINO VINCENZO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720" w:firstLine="0"/>
              <w:rPr>
                <w:b w:val="1"/>
                <w:highlight w:val="white"/>
                <w:u w:val="singl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RIPA CARLOTTA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            3A</w:t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6"/>
          <w:szCs w:val="26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u w:val="single"/>
          <w:rtl w:val="0"/>
        </w:rPr>
        <w:t xml:space="preserve">Ogg:</w:t>
      </w:r>
      <w:r w:rsidDel="00000000" w:rsidR="00000000" w:rsidRPr="00000000">
        <w:rPr>
          <w:sz w:val="26"/>
          <w:szCs w:val="26"/>
          <w:highlight w:val="white"/>
          <w:u w:val="single"/>
          <w:rtl w:val="0"/>
        </w:rPr>
        <w:t xml:space="preserve"> Avvio corso Cambridge B2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Competenze STEM e multilinguistiche nelle scuole statali (D.M. 65/2023) “# Women in science” </w:t>
      </w:r>
    </w:p>
    <w:p w:rsidR="00000000" w:rsidDel="00000000" w:rsidP="00000000" w:rsidRDefault="00000000" w:rsidRPr="00000000" w14:paraId="00000038">
      <w:pPr>
        <w:rPr>
          <w:sz w:val="26"/>
          <w:szCs w:val="26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sz w:val="26"/>
          <w:szCs w:val="26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Si comunica che dal giorno 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04 febbraio 2025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dalle ore 14.30 alle 17.30 avranno inizio le lezioni del corso Cambridge B2 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Competenze STEM e multilinguistiche nelle scuole statali (D.M. 65/2023) “# Women in science” </w:t>
      </w:r>
    </w:p>
    <w:p w:rsidR="00000000" w:rsidDel="00000000" w:rsidP="00000000" w:rsidRDefault="00000000" w:rsidRPr="00000000" w14:paraId="0000003B">
      <w:pPr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